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>Заключение по результатам публичных слушаний</w:t>
      </w:r>
    </w:p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>с. Подлесное</w:t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</w:r>
      <w:r w:rsidRPr="00257179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ab/>
        <w:t>18 апреля 2024 года</w:t>
      </w:r>
    </w:p>
    <w:p w:rsidR="00257179" w:rsidRPr="00257179" w:rsidRDefault="00257179" w:rsidP="00257179">
      <w:pPr>
        <w:widowControl w:val="0"/>
        <w:tabs>
          <w:tab w:val="left" w:pos="350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ab/>
        <w:t xml:space="preserve">Решение Совета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от 28.03.2025 г.  №28/116 «О вынесении на публичные слушания проекта решения Совета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Марксовского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«Об утверждении отчета об исполнении бюджета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за 2024 год» было обнародовано на территории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Марксовского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Саратовской области. Публичные слушания были назначены на 18 апреля 2025 года. До дня проведения публичных слушаний была проведена работа депутатами Совета </w:t>
      </w:r>
      <w:proofErr w:type="spellStart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 с населением по рассмотрению проекта решения </w:t>
      </w:r>
      <w:r w:rsidRPr="0025717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hi-IN" w:bidi="hi-IN"/>
        </w:rPr>
        <w:t>«</w:t>
      </w:r>
      <w:r w:rsidRPr="00257179">
        <w:rPr>
          <w:rFonts w:ascii="Times New Roman" w:eastAsia="Lucida Sans Unicode" w:hAnsi="Times New Roman" w:cs="Tahoma"/>
          <w:bCs/>
          <w:kern w:val="1"/>
          <w:sz w:val="28"/>
          <w:lang w:eastAsia="hi-IN" w:bidi="hi-IN"/>
        </w:rPr>
        <w:t xml:space="preserve">Об утверждении отчета об исполнении бюджета </w:t>
      </w:r>
      <w:proofErr w:type="spellStart"/>
      <w:r w:rsidRPr="00257179">
        <w:rPr>
          <w:rFonts w:ascii="Times New Roman" w:eastAsia="Lucida Sans Unicode" w:hAnsi="Times New Roman" w:cs="Tahoma"/>
          <w:bCs/>
          <w:kern w:val="1"/>
          <w:sz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Lucida Sans Unicode" w:hAnsi="Times New Roman" w:cs="Tahoma"/>
          <w:bCs/>
          <w:kern w:val="1"/>
          <w:sz w:val="28"/>
          <w:lang w:eastAsia="hi-IN" w:bidi="hi-IN"/>
        </w:rPr>
        <w:t xml:space="preserve"> муниципального образования за 2024</w:t>
      </w:r>
      <w:r w:rsidRPr="00257179">
        <w:rPr>
          <w:rFonts w:ascii="Times New Roman" w:eastAsia="Lucida Sans Unicode" w:hAnsi="Times New Roman" w:cs="Tahoma"/>
          <w:b/>
          <w:bCs/>
          <w:kern w:val="1"/>
          <w:sz w:val="28"/>
          <w:lang w:eastAsia="hi-IN" w:bidi="hi-IN"/>
        </w:rPr>
        <w:t xml:space="preserve"> </w:t>
      </w:r>
      <w:r w:rsidRPr="00257179">
        <w:rPr>
          <w:rFonts w:ascii="Times New Roman" w:eastAsia="Lucida Sans Unicode" w:hAnsi="Times New Roman" w:cs="Tahoma"/>
          <w:bCs/>
          <w:kern w:val="1"/>
          <w:sz w:val="28"/>
          <w:lang w:eastAsia="hi-IN" w:bidi="hi-IN"/>
        </w:rPr>
        <w:t>год»</w:t>
      </w:r>
    </w:p>
    <w:p w:rsidR="00257179" w:rsidRPr="00257179" w:rsidRDefault="00257179" w:rsidP="00257179">
      <w:pPr>
        <w:keepNext/>
        <w:widowControl w:val="0"/>
        <w:tabs>
          <w:tab w:val="left" w:pos="709"/>
          <w:tab w:val="left" w:pos="851"/>
        </w:tabs>
        <w:suppressAutoHyphens/>
        <w:spacing w:before="240" w:after="120" w:line="276" w:lineRule="auto"/>
        <w:jc w:val="both"/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</w:pPr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 xml:space="preserve">Так как  за период с момента опубликования о проведении публичных слушаний до дня проведения публичных слушаний каких-либо предложений и замечаний об утверждении отчета об исполнении бюджета </w:t>
      </w:r>
      <w:proofErr w:type="spellStart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 xml:space="preserve"> муниципального образования за 2024 год в администрацию </w:t>
      </w:r>
      <w:proofErr w:type="spellStart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 xml:space="preserve"> муниципального образования не поступало, согласительная комиссия по организации публичных слушаний рекомендует депутатам Совета </w:t>
      </w:r>
      <w:proofErr w:type="spellStart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>Марксовского</w:t>
      </w:r>
      <w:proofErr w:type="spellEnd"/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предложенный проект </w:t>
      </w:r>
      <w:r w:rsidRPr="00257179">
        <w:rPr>
          <w:rFonts w:ascii="Times New Roman" w:eastAsia="Times New Roman" w:hAnsi="Times New Roman" w:cs="Times New Roman"/>
          <w:iCs/>
          <w:color w:val="00000A"/>
          <w:kern w:val="1"/>
          <w:sz w:val="28"/>
          <w:szCs w:val="28"/>
          <w:lang w:eastAsia="hi-IN" w:bidi="hi-IN"/>
        </w:rPr>
        <w:t>«</w:t>
      </w:r>
      <w:r w:rsidRPr="00257179">
        <w:rPr>
          <w:rFonts w:ascii="Times New Roman" w:eastAsia="Andale Sans UI" w:hAnsi="Times New Roman" w:cs="Tahoma"/>
          <w:bCs/>
          <w:iCs/>
          <w:color w:val="00000A"/>
          <w:kern w:val="1"/>
          <w:sz w:val="28"/>
          <w:lang w:eastAsia="hi-IN" w:bidi="hi-IN"/>
        </w:rPr>
        <w:t xml:space="preserve">Об утверждении отчета об исполнении бюджета </w:t>
      </w:r>
      <w:proofErr w:type="spellStart"/>
      <w:r w:rsidRPr="00257179">
        <w:rPr>
          <w:rFonts w:ascii="Times New Roman" w:eastAsia="Andale Sans UI" w:hAnsi="Times New Roman" w:cs="Tahoma"/>
          <w:bCs/>
          <w:iCs/>
          <w:color w:val="00000A"/>
          <w:kern w:val="1"/>
          <w:sz w:val="28"/>
          <w:lang w:eastAsia="hi-IN" w:bidi="hi-IN"/>
        </w:rPr>
        <w:t>Подлесновского</w:t>
      </w:r>
      <w:proofErr w:type="spellEnd"/>
      <w:r w:rsidRPr="00257179">
        <w:rPr>
          <w:rFonts w:ascii="Times New Roman" w:eastAsia="Andale Sans UI" w:hAnsi="Times New Roman" w:cs="Tahoma"/>
          <w:bCs/>
          <w:iCs/>
          <w:color w:val="00000A"/>
          <w:kern w:val="1"/>
          <w:sz w:val="28"/>
          <w:lang w:eastAsia="hi-IN" w:bidi="hi-IN"/>
        </w:rPr>
        <w:t xml:space="preserve"> муниципального образования за 2024</w:t>
      </w:r>
      <w:r w:rsidRPr="00257179">
        <w:rPr>
          <w:rFonts w:ascii="Times New Roman" w:eastAsia="Andale Sans UI" w:hAnsi="Times New Roman" w:cs="Tahoma"/>
          <w:b/>
          <w:bCs/>
          <w:iCs/>
          <w:color w:val="00000A"/>
          <w:kern w:val="1"/>
          <w:sz w:val="28"/>
          <w:lang w:eastAsia="hi-IN" w:bidi="hi-IN"/>
        </w:rPr>
        <w:t xml:space="preserve"> </w:t>
      </w:r>
      <w:r w:rsidRPr="00257179">
        <w:rPr>
          <w:rFonts w:ascii="Times New Roman" w:eastAsia="Andale Sans UI" w:hAnsi="Times New Roman" w:cs="Tahoma"/>
          <w:bCs/>
          <w:iCs/>
          <w:color w:val="00000A"/>
          <w:kern w:val="1"/>
          <w:sz w:val="28"/>
          <w:lang w:eastAsia="hi-IN" w:bidi="hi-IN"/>
        </w:rPr>
        <w:t>год</w:t>
      </w:r>
      <w:r w:rsidRPr="00257179">
        <w:rPr>
          <w:rFonts w:ascii="Times New Roman" w:eastAsia="Times New Roman" w:hAnsi="Times New Roman" w:cs="Times New Roman"/>
          <w:iCs/>
          <w:color w:val="00000A"/>
          <w:kern w:val="1"/>
          <w:sz w:val="28"/>
          <w:szCs w:val="28"/>
          <w:lang w:eastAsia="hi-IN" w:bidi="hi-IN"/>
        </w:rPr>
        <w:t xml:space="preserve">» </w:t>
      </w:r>
      <w:r w:rsidRPr="00257179">
        <w:rPr>
          <w:rFonts w:ascii="Times New Roman" w:eastAsia="Andale Sans UI" w:hAnsi="Times New Roman" w:cs="Tahoma"/>
          <w:color w:val="00000A"/>
          <w:kern w:val="1"/>
          <w:sz w:val="28"/>
          <w:szCs w:val="28"/>
          <w:lang w:eastAsia="hi-IN" w:bidi="hi-IN"/>
        </w:rPr>
        <w:t>принять и утвердить.</w:t>
      </w:r>
    </w:p>
    <w:p w:rsidR="00257179" w:rsidRPr="00257179" w:rsidRDefault="00257179" w:rsidP="0025717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tbl>
      <w:tblPr>
        <w:tblW w:w="982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7593"/>
      </w:tblGrid>
      <w:tr w:rsidR="00257179" w:rsidRPr="00257179" w:rsidTr="00A70B50">
        <w:tc>
          <w:tcPr>
            <w:tcW w:w="2232" w:type="dxa"/>
            <w:shd w:val="clear" w:color="auto" w:fill="auto"/>
          </w:tcPr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25717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Председатель</w:t>
            </w:r>
          </w:p>
        </w:tc>
        <w:tc>
          <w:tcPr>
            <w:tcW w:w="7593" w:type="dxa"/>
            <w:shd w:val="clear" w:color="auto" w:fill="auto"/>
          </w:tcPr>
          <w:p w:rsidR="00257179" w:rsidRPr="00257179" w:rsidRDefault="00257179" w:rsidP="00257179">
            <w:pPr>
              <w:widowControl w:val="0"/>
              <w:tabs>
                <w:tab w:val="left" w:pos="330"/>
              </w:tabs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25717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ab/>
              <w:t>С.А. Кузьминова</w:t>
            </w:r>
          </w:p>
        </w:tc>
      </w:tr>
      <w:tr w:rsidR="00257179" w:rsidRPr="00257179" w:rsidTr="00A70B50">
        <w:tc>
          <w:tcPr>
            <w:tcW w:w="2232" w:type="dxa"/>
            <w:shd w:val="clear" w:color="auto" w:fill="auto"/>
          </w:tcPr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25717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Секретарь</w:t>
            </w:r>
          </w:p>
        </w:tc>
        <w:tc>
          <w:tcPr>
            <w:tcW w:w="7593" w:type="dxa"/>
            <w:shd w:val="clear" w:color="auto" w:fill="auto"/>
          </w:tcPr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257179" w:rsidRPr="00257179" w:rsidRDefault="00257179" w:rsidP="00257179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25717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О.Н. Макеева</w:t>
            </w:r>
          </w:p>
        </w:tc>
      </w:tr>
    </w:tbl>
    <w:p w:rsidR="00257179" w:rsidRPr="00257179" w:rsidRDefault="00257179" w:rsidP="00257179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 CYR"/>
          <w:kern w:val="1"/>
          <w:sz w:val="28"/>
          <w:szCs w:val="28"/>
          <w:lang w:eastAsia="hi-IN" w:bidi="hi-IN"/>
        </w:rPr>
      </w:pPr>
    </w:p>
    <w:p w:rsidR="00257179" w:rsidRPr="00257179" w:rsidRDefault="00257179" w:rsidP="00257179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1D26D7" w:rsidRDefault="001D26D7">
      <w:bookmarkStart w:id="0" w:name="_GoBack"/>
      <w:bookmarkEnd w:id="0"/>
    </w:p>
    <w:sectPr w:rsidR="001D26D7" w:rsidSect="009509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9"/>
    <w:rsid w:val="001D26D7"/>
    <w:rsid w:val="002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F661-7A5B-44EB-92A9-3930FC07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2025-04-21T05:10:00Z</dcterms:created>
  <dcterms:modified xsi:type="dcterms:W3CDTF">2025-04-21T05:11:00Z</dcterms:modified>
</cp:coreProperties>
</file>